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ayout w:type="fixed"/>
        <w:tblLook w:val="04A0" w:firstRow="1" w:lastRow="0" w:firstColumn="1" w:lastColumn="0" w:noHBand="0" w:noVBand="1"/>
      </w:tblPr>
      <w:tblGrid>
        <w:gridCol w:w="4051"/>
        <w:gridCol w:w="1436"/>
        <w:gridCol w:w="4305"/>
      </w:tblGrid>
      <w:tr w:rsidR="00C05BC7" w:rsidRPr="0026520F" w:rsidTr="00137592">
        <w:trPr>
          <w:cantSplit/>
          <w:trHeight w:val="329"/>
        </w:trPr>
        <w:tc>
          <w:tcPr>
            <w:tcW w:w="4050" w:type="dxa"/>
          </w:tcPr>
          <w:p w:rsidR="00C05BC7" w:rsidRPr="0026520F" w:rsidRDefault="00C05BC7" w:rsidP="00137592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16" w:lineRule="auto"/>
              <w:ind w:left="5" w:right="-5246"/>
              <w:jc w:val="center"/>
              <w:outlineLvl w:val="0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  <w:lang w:val="tt-RU"/>
              </w:rPr>
            </w:pPr>
            <w:r w:rsidRPr="0026520F">
              <w:rPr>
                <w:rFonts w:ascii="Rom Bsh" w:eastAsia="Times New Roman" w:hAnsi="Rom Bsh" w:cs="Times New Roman"/>
                <w:b/>
                <w:bCs/>
                <w:spacing w:val="-20"/>
                <w:sz w:val="20"/>
                <w:szCs w:val="20"/>
                <w:lang w:val="tt-RU"/>
              </w:rPr>
              <w:t>П</w:t>
            </w:r>
          </w:p>
          <w:p w:rsidR="00C05BC7" w:rsidRPr="0026520F" w:rsidRDefault="00C05BC7" w:rsidP="00137592">
            <w:pPr>
              <w:keepNext/>
              <w:widowControl w:val="0"/>
              <w:suppressAutoHyphens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БАШ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Ҡ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ОРТОСТАН РЕСПУБЛИКА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Һ</w:t>
            </w:r>
            <w:proofErr w:type="gramStart"/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Ы</w:t>
            </w:r>
            <w:proofErr w:type="gramEnd"/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 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К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Ү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Г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РСЕН РАЙОНЫ МУНИЦИПАЛЬ РАЙОНЫНЫ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Ң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 xml:space="preserve"> НОВОПЕТРОВКА АУЫЛ СОВЕТЫ АУЫЛ БИЛ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М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val="ba-RU" w:bidi="hi-IN"/>
              </w:rPr>
              <w:t>ӘҺ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Е ХАКИМИ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ba-RU" w:bidi="hi-IN"/>
              </w:rPr>
              <w:t>ә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ТЕ</w:t>
            </w:r>
          </w:p>
          <w:p w:rsidR="00C05BC7" w:rsidRPr="0026520F" w:rsidRDefault="00C05BC7" w:rsidP="00137592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05BC7" w:rsidRPr="0026520F" w:rsidRDefault="00C05BC7" w:rsidP="00137592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  <w:p w:rsidR="00C05BC7" w:rsidRPr="0026520F" w:rsidRDefault="00C05BC7" w:rsidP="00137592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  <w:r w:rsidRPr="002652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1756FCAE" wp14:editId="7F286F4E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196850</wp:posOffset>
                  </wp:positionV>
                  <wp:extent cx="870585" cy="10229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BC7" w:rsidRPr="0026520F" w:rsidRDefault="00C05BC7" w:rsidP="00137592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4305" w:type="dxa"/>
          </w:tcPr>
          <w:p w:rsidR="00C05BC7" w:rsidRPr="0026520F" w:rsidRDefault="00C05BC7" w:rsidP="001375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5BC7" w:rsidRPr="0026520F" w:rsidRDefault="00C05BC7" w:rsidP="00137592">
            <w:pPr>
              <w:keepNext/>
              <w:widowControl w:val="0"/>
              <w:suppressAutoHyphens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>РЕСПУБЛИКА  БАШКОРТОСТАН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 АДМИНИСТРАЦИЯ  </w:t>
            </w:r>
            <w:r w:rsidRPr="0026520F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bidi="hi-IN"/>
              </w:rPr>
              <w:t xml:space="preserve">СЕЛЬСКОГО ПОСЕЛЕНИЯ НОВОПЕТРОВСКИЙ СЕЛЬСОВЕТ МУНИЦИПАЛЬНОГО РАЙОНА КУГАРЧИНСКИЙ РАЙОН </w:t>
            </w:r>
          </w:p>
          <w:p w:rsidR="00C05BC7" w:rsidRPr="0026520F" w:rsidRDefault="00C05BC7" w:rsidP="00137592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</w:tr>
      <w:tr w:rsidR="00C05BC7" w:rsidRPr="0026520F" w:rsidTr="00137592">
        <w:trPr>
          <w:cantSplit/>
          <w:trHeight w:val="255"/>
        </w:trPr>
        <w:tc>
          <w:tcPr>
            <w:tcW w:w="40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05BC7" w:rsidRPr="0026520F" w:rsidRDefault="00C05BC7" w:rsidP="00137592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kern w:val="2"/>
                <w:sz w:val="20"/>
                <w:szCs w:val="20"/>
              </w:rPr>
            </w:pPr>
          </w:p>
          <w:p w:rsidR="00C05BC7" w:rsidRPr="0026520F" w:rsidRDefault="00C05BC7" w:rsidP="0013759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20F">
              <w:rPr>
                <w:rFonts w:ascii="Rom Bsh" w:eastAsia="Times New Roman" w:hAnsi="Rom Bsh" w:cs="Times New Roman"/>
                <w:kern w:val="2"/>
                <w:sz w:val="24"/>
                <w:szCs w:val="20"/>
                <w:lang w:val="tt-RU" w:bidi="hi-IN"/>
              </w:rPr>
              <w:t xml:space="preserve">453342, </w:t>
            </w:r>
            <w:r w:rsidRPr="0026520F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С</w:t>
            </w:r>
            <w:r w:rsidRPr="002652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ba-RU" w:bidi="hi-IN"/>
              </w:rPr>
              <w:t>ә</w:t>
            </w:r>
            <w:r w:rsidRPr="0026520F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йет</w:t>
            </w:r>
            <w:r w:rsidRPr="002652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ba-RU" w:bidi="hi-IN"/>
              </w:rPr>
              <w:t>ҡ</w:t>
            </w:r>
            <w:r w:rsidRPr="0026520F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ол</w:t>
            </w:r>
            <w:r w:rsidRPr="0026520F">
              <w:rPr>
                <w:rFonts w:ascii="Rom Bsh" w:eastAsia="Times New Roman" w:hAnsi="Rom Bsh" w:cs="Times New Roman"/>
                <w:kern w:val="2"/>
                <w:sz w:val="24"/>
                <w:szCs w:val="20"/>
                <w:lang w:val="tt-RU" w:bidi="hi-IN"/>
              </w:rPr>
              <w:t xml:space="preserve"> ауылы,</w:t>
            </w:r>
            <w:r w:rsidRPr="002652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ba-RU" w:bidi="hi-IN"/>
              </w:rPr>
              <w:t>Ү</w:t>
            </w:r>
            <w:r w:rsidRPr="0026520F">
              <w:rPr>
                <w:rFonts w:ascii="Rom Bsh" w:eastAsia="Times New Roman" w:hAnsi="Rom Bsh" w:cs="Times New Roman"/>
                <w:kern w:val="2"/>
                <w:sz w:val="20"/>
                <w:szCs w:val="20"/>
                <w:lang w:val="tt-RU" w:bidi="hi-IN"/>
              </w:rPr>
              <w:t>рге</w:t>
            </w:r>
            <w:r w:rsidRPr="0026520F">
              <w:rPr>
                <w:rFonts w:ascii="Rom Bsh" w:eastAsia="Times New Roman" w:hAnsi="Rom Bsh" w:cs="Times New Roman"/>
                <w:kern w:val="2"/>
                <w:sz w:val="24"/>
                <w:szCs w:val="20"/>
                <w:lang w:val="tt-RU" w:bidi="hi-IN"/>
              </w:rPr>
              <w:t xml:space="preserve"> урам, 20 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  <w:lang w:val="tt-RU"/>
              </w:rPr>
              <w:t>Тел. 8(34789)2-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56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  <w:lang w:val="tt-RU"/>
              </w:rPr>
              <w:t>-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03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05BC7" w:rsidRPr="0026520F" w:rsidRDefault="00C05BC7" w:rsidP="00137592">
            <w:pPr>
              <w:spacing w:after="0" w:line="240" w:lineRule="auto"/>
              <w:rPr>
                <w:rFonts w:ascii="Rom Bsh" w:eastAsia="Times New Roman" w:hAnsi="Rom Bsh" w:cs="Times New Roman"/>
                <w:b/>
                <w:bCs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05BC7" w:rsidRPr="0026520F" w:rsidRDefault="00C05BC7" w:rsidP="00137592">
            <w:pPr>
              <w:snapToGrid w:val="0"/>
              <w:spacing w:after="0" w:line="216" w:lineRule="auto"/>
              <w:jc w:val="center"/>
              <w:rPr>
                <w:rFonts w:ascii="Rom Bsh" w:eastAsia="Times New Roman" w:hAnsi="Rom Bsh" w:cs="Times New Roman"/>
                <w:kern w:val="2"/>
                <w:sz w:val="20"/>
                <w:szCs w:val="20"/>
              </w:rPr>
            </w:pPr>
          </w:p>
          <w:p w:rsidR="00C05BC7" w:rsidRPr="0026520F" w:rsidRDefault="00C05BC7" w:rsidP="0013759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20F">
              <w:rPr>
                <w:rFonts w:ascii="Times New Roman" w:eastAsia="Times New Roman" w:hAnsi="Times New Roman" w:cs="Times New Roman"/>
                <w:sz w:val="20"/>
                <w:szCs w:val="20"/>
              </w:rPr>
              <w:t>453342</w:t>
            </w:r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 xml:space="preserve">, с. </w:t>
            </w:r>
            <w:proofErr w:type="spellStart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Саиткулово</w:t>
            </w:r>
            <w:proofErr w:type="spellEnd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 xml:space="preserve">, </w:t>
            </w:r>
            <w:proofErr w:type="spellStart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ул</w:t>
            </w:r>
            <w:proofErr w:type="gramStart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.В</w:t>
            </w:r>
            <w:proofErr w:type="gramEnd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>ерхняя</w:t>
            </w:r>
            <w:proofErr w:type="spellEnd"/>
            <w:r w:rsidRPr="0026520F">
              <w:rPr>
                <w:rFonts w:ascii="Rom Bsh" w:eastAsia="Times New Roman" w:hAnsi="Rom Bsh" w:cs="Times New Roman"/>
                <w:sz w:val="20"/>
                <w:szCs w:val="20"/>
              </w:rPr>
              <w:t xml:space="preserve">, </w:t>
            </w:r>
            <w:r w:rsidRPr="0026520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C05BC7" w:rsidRPr="0026520F" w:rsidRDefault="00C05BC7" w:rsidP="001375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20F">
              <w:rPr>
                <w:rFonts w:ascii="Rom Bsh" w:eastAsia="Times New Roman" w:hAnsi="Rom Bsh" w:cs="Times New Roman"/>
                <w:sz w:val="20"/>
                <w:szCs w:val="24"/>
              </w:rPr>
              <w:t xml:space="preserve">Тел. </w:t>
            </w:r>
            <w:r w:rsidRPr="0026520F">
              <w:rPr>
                <w:rFonts w:ascii="Arial" w:eastAsia="Times New Roman" w:hAnsi="Arial" w:cs="Arial"/>
                <w:sz w:val="20"/>
                <w:szCs w:val="24"/>
              </w:rPr>
              <w:t>8(34789)2-56-03</w:t>
            </w:r>
          </w:p>
        </w:tc>
      </w:tr>
    </w:tbl>
    <w:p w:rsidR="00C05BC7" w:rsidRPr="0026520F" w:rsidRDefault="00C05BC7" w:rsidP="00C05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tbl>
      <w:tblPr>
        <w:tblW w:w="99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8"/>
        <w:gridCol w:w="1420"/>
        <w:gridCol w:w="4258"/>
      </w:tblGrid>
      <w:tr w:rsidR="00C05BC7" w:rsidRPr="0026520F" w:rsidTr="00137592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BC7" w:rsidRPr="0026520F" w:rsidRDefault="00C05BC7" w:rsidP="00137592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21.11</w:t>
            </w:r>
            <w:r w:rsidRPr="0026520F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.2023й.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BC7" w:rsidRPr="00364DC8" w:rsidRDefault="00C05BC7" w:rsidP="00137592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val="ba-RU" w:eastAsia="ar-SA" w:bidi="hi-IN"/>
              </w:rPr>
              <w:t>№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BC7" w:rsidRPr="0026520F" w:rsidRDefault="00C05BC7" w:rsidP="00C05BC7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</w:pPr>
            <w:r w:rsidRPr="0026520F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 xml:space="preserve">               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21.11</w:t>
            </w:r>
            <w:r w:rsidRPr="0026520F">
              <w:rPr>
                <w:rFonts w:ascii="Times New Roman" w:eastAsia="Times New Roman" w:hAnsi="Times New Roman" w:cs="Mangal"/>
                <w:kern w:val="2"/>
                <w:sz w:val="28"/>
                <w:szCs w:val="28"/>
                <w:lang w:eastAsia="ar-SA" w:bidi="hi-IN"/>
              </w:rPr>
              <w:t>.2023 г.</w:t>
            </w:r>
          </w:p>
        </w:tc>
      </w:tr>
    </w:tbl>
    <w:p w:rsidR="00C05BC7" w:rsidRPr="0026520F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              </w:t>
      </w:r>
      <w:r w:rsidRPr="0026520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Pr="00265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                                                                ПОСТАНОВЛЕНИЕ</w:t>
      </w:r>
    </w:p>
    <w:p w:rsidR="00C05BC7" w:rsidRDefault="00C05BC7" w:rsidP="00C05B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6520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   </w:t>
      </w:r>
    </w:p>
    <w:p w:rsidR="00C05BC7" w:rsidRPr="00C05BC7" w:rsidRDefault="00C05BC7" w:rsidP="00C05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C7">
        <w:rPr>
          <w:rFonts w:ascii="Times New Roman" w:hAnsi="Times New Roman" w:cs="Times New Roman"/>
          <w:b/>
          <w:sz w:val="28"/>
          <w:szCs w:val="28"/>
        </w:rPr>
        <w:t>Об утверждении программы « Комплексного развития систем</w:t>
      </w:r>
    </w:p>
    <w:p w:rsidR="00C05BC7" w:rsidRPr="00C05BC7" w:rsidRDefault="00C05BC7" w:rsidP="00C05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BC7">
        <w:rPr>
          <w:rFonts w:ascii="Times New Roman" w:hAnsi="Times New Roman" w:cs="Times New Roman"/>
          <w:b/>
          <w:sz w:val="28"/>
          <w:szCs w:val="28"/>
        </w:rPr>
        <w:t>коммунальной инфраструктуры сельского поселения Новопетровский сельсовет Муниципального района Кугарчинский район Республики Башкортостан 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05BC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05BC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C05BC7" w:rsidRPr="00C05BC7" w:rsidRDefault="00C05BC7" w:rsidP="00C05B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B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C05B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программах комплексного развития систем коммунальной инфраструктуры поселений, городских округов», руководствуясь Уставом сельского поселения Новопетровский сельсовет муниципального  района </w:t>
      </w:r>
      <w:r>
        <w:rPr>
          <w:rFonts w:ascii="Times New Roman" w:eastAsia="Calibri" w:hAnsi="Times New Roman" w:cs="Times New Roman"/>
          <w:sz w:val="28"/>
          <w:szCs w:val="28"/>
        </w:rPr>
        <w:t>Кугарчинский</w:t>
      </w:r>
      <w:r w:rsidRPr="00C05BC7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Башкортостан, администрация сельского поселения Новопетровский сельсовет муниципального  района </w:t>
      </w:r>
      <w:r>
        <w:rPr>
          <w:rFonts w:ascii="Times New Roman" w:eastAsia="Calibri" w:hAnsi="Times New Roman" w:cs="Times New Roman"/>
          <w:sz w:val="28"/>
          <w:szCs w:val="28"/>
        </w:rPr>
        <w:t>Кугарчинский</w:t>
      </w:r>
      <w:r w:rsidRPr="00C05BC7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</w:t>
      </w:r>
      <w:proofErr w:type="gramEnd"/>
      <w:r w:rsidRPr="00C05BC7">
        <w:rPr>
          <w:rFonts w:ascii="Times New Roman" w:eastAsia="Calibri" w:hAnsi="Times New Roman" w:cs="Times New Roman"/>
          <w:sz w:val="28"/>
          <w:szCs w:val="28"/>
        </w:rPr>
        <w:t xml:space="preserve"> Башкортостан   </w:t>
      </w:r>
    </w:p>
    <w:p w:rsidR="00C05BC7" w:rsidRPr="00C05BC7" w:rsidRDefault="00C05BC7" w:rsidP="00C05B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BC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05BC7" w:rsidRPr="00C05BC7" w:rsidRDefault="00C05BC7" w:rsidP="00C05B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BC7">
        <w:rPr>
          <w:rFonts w:ascii="Times New Roman" w:eastAsia="Calibri" w:hAnsi="Times New Roman" w:cs="Times New Roman"/>
          <w:sz w:val="28"/>
          <w:szCs w:val="28"/>
        </w:rPr>
        <w:t xml:space="preserve">  1. Утвердить Программу комплексного развития систем коммунальной инфраструктуры сельского поселения Новопетровский сельсовет муниципального  района </w:t>
      </w:r>
      <w:r>
        <w:rPr>
          <w:rFonts w:ascii="Times New Roman" w:eastAsia="Calibri" w:hAnsi="Times New Roman" w:cs="Times New Roman"/>
          <w:sz w:val="28"/>
          <w:szCs w:val="28"/>
        </w:rPr>
        <w:t>Кугарчинский</w:t>
      </w:r>
      <w:r w:rsidRPr="00C05BC7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  </w:t>
      </w:r>
      <w:r>
        <w:rPr>
          <w:rFonts w:ascii="Times New Roman" w:eastAsia="Calibri" w:hAnsi="Times New Roman" w:cs="Times New Roman"/>
          <w:sz w:val="28"/>
          <w:szCs w:val="28"/>
        </w:rPr>
        <w:t>на период 2023 – 2029</w:t>
      </w:r>
      <w:r w:rsidRPr="00C05BC7">
        <w:rPr>
          <w:rFonts w:ascii="Times New Roman" w:eastAsia="Calibri" w:hAnsi="Times New Roman" w:cs="Times New Roman"/>
          <w:sz w:val="28"/>
          <w:szCs w:val="28"/>
        </w:rPr>
        <w:t xml:space="preserve"> годы согласно приложению.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C05BC7">
        <w:rPr>
          <w:rFonts w:ascii="Times New Roman" w:eastAsia="Calibri" w:hAnsi="Times New Roman" w:cs="Times New Roman"/>
          <w:sz w:val="28"/>
          <w:szCs w:val="28"/>
        </w:rPr>
        <w:t xml:space="preserve">  2.  </w:t>
      </w: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Опубликовать настоящее постановление на сайте сельского поселения Новопетровский сельсовет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Кугарчинский</w:t>
      </w: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 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05BC7" w:rsidRPr="00C05BC7" w:rsidRDefault="00C05BC7" w:rsidP="00C05B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C7" w:rsidRDefault="00C05BC7" w:rsidP="00C05B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Х.А.Аллабердин</w:t>
      </w:r>
      <w:proofErr w:type="spellEnd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BC7" w:rsidRDefault="00C05BC7" w:rsidP="00C05B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C7" w:rsidRDefault="00C05BC7" w:rsidP="00C05B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C35" w:rsidRDefault="007F2C35" w:rsidP="00C05B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C35" w:rsidRDefault="007F2C35" w:rsidP="00C05B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Новопетровский сельсовет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Кугарчинский</w:t>
      </w:r>
      <w:r w:rsidRPr="00C0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комплексного развития систем </w:t>
      </w:r>
      <w:proofErr w:type="gramStart"/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коммунальной</w:t>
      </w:r>
      <w:proofErr w:type="gramEnd"/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инфраструктуры сельского поселения Новопетровский сельсовет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Кугарчинский</w:t>
      </w: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2023-2029</w:t>
      </w: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691"/>
      </w:tblGrid>
      <w:tr w:rsidR="00C05BC7" w:rsidRPr="00C05BC7" w:rsidTr="00137592">
        <w:trPr>
          <w:trHeight w:val="435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комплексного развития систем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коммунальной инфраструктуры сельского поселения Новопетровский сельсовет на 2021-2026  годы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(далее - Программа) </w:t>
            </w:r>
          </w:p>
        </w:tc>
      </w:tr>
      <w:tr w:rsidR="00C05BC7" w:rsidRPr="00C05BC7" w:rsidTr="00137592">
        <w:trPr>
          <w:trHeight w:val="1680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разработки Программы 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"Об основах регулирования тарифов организаций коммунального комплекса" от 27.10.2010 N 210-ФЗ.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C05BC7" w:rsidRPr="00C05BC7" w:rsidTr="00137592">
        <w:trPr>
          <w:trHeight w:val="210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 Новопетровский сельсовет</w:t>
            </w:r>
          </w:p>
        </w:tc>
      </w:tr>
      <w:tr w:rsidR="00C05BC7" w:rsidRPr="00C05BC7" w:rsidTr="00137592">
        <w:trPr>
          <w:trHeight w:val="210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разработчики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 Новопетровский сельсовет</w:t>
            </w:r>
          </w:p>
        </w:tc>
      </w:tr>
      <w:tr w:rsidR="00C05BC7" w:rsidRPr="00C05BC7" w:rsidTr="00137592">
        <w:trPr>
          <w:trHeight w:val="471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 Новопетровский сельсовет</w:t>
            </w:r>
          </w:p>
        </w:tc>
      </w:tr>
      <w:tr w:rsidR="00C05BC7" w:rsidRPr="00C05BC7" w:rsidTr="00137592">
        <w:trPr>
          <w:trHeight w:val="773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Задачи Программы 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качественных жилищно-коммунальных услуг потребителям при соответствии требованиям экологических стандартов.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модернизация и реконструкция существующей системы.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экономических и организационных условий развития систем коммунальной инфраструктуры   сельского поселения Новопетровский 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Кугарчинский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Башкортостан. Формирование и совершенствование </w:t>
            </w:r>
            <w:proofErr w:type="gramStart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организационных механизмов</w:t>
            </w:r>
            <w:proofErr w:type="gramEnd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снижения стоимости услуг при сохранении объемов и качества предоставления услуг, устойчивости функционирования систем коммунальной инфраструктуры.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</w:t>
            </w:r>
            <w:proofErr w:type="gramStart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организационных механизмов</w:t>
            </w:r>
            <w:proofErr w:type="gramEnd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</w:t>
            </w:r>
            <w:proofErr w:type="spellStart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коммунальной инфраструктуры.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состояния окружающей среды, экологической безопасности развития  сельского поселения Новопетровский сельсовет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Кугарчинский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Башкортостан, создание благоприятных условий для проживания людей</w:t>
            </w:r>
          </w:p>
        </w:tc>
      </w:tr>
      <w:tr w:rsidR="00C05BC7" w:rsidRPr="00C05BC7" w:rsidTr="00137592">
        <w:trPr>
          <w:trHeight w:val="210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реализации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2023-2029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</w:t>
            </w:r>
          </w:p>
        </w:tc>
      </w:tr>
      <w:tr w:rsidR="00C05BC7" w:rsidRPr="00C05BC7" w:rsidTr="00137592">
        <w:trPr>
          <w:trHeight w:val="3667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и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финансовых сре</w:t>
            </w:r>
            <w:proofErr w:type="gramStart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ограммы 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- средства бюджетов всех уровней, тарифы, плата за подключение, инвестиции.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средств финансирования мероприятий Программы производится либо путем </w:t>
            </w:r>
            <w:proofErr w:type="gramStart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proofErr w:type="gramEnd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баланс муниципального образования построенных (реконструированных) объектов коммунальной инфраструктуры, либо в иной форме в объемах и в сроки, устанавливаемые договорами о реализации 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инвестиционных программ с организациями коммунального комплекса.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 на построенные (реконструированные) объекты коммунальной инфраструктуры за счет бюджетных средств, а также за счет привлечения средств потребителей услуг предприятий коммунального комплекса путем установления для них надбавок к тарифам на услуги и тарифа на подключение к коммунальным сетям, реализуется на основании норм действующего законодательства РФ в сфере инвестиционной деятельности (капитальные вложения) на срочной и возвратной основе.</w:t>
            </w:r>
            <w:proofErr w:type="gramEnd"/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BC7" w:rsidRPr="00C05BC7" w:rsidTr="00137592">
        <w:trPr>
          <w:trHeight w:val="619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позволит: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обеспечить выполнение мероприятий по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строительству и модернизации систем водоснабжения, водоотведения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направленных на подключение строящихся и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модернизируемых объектов;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провести модернизацию и заменить технологическое оборудование на более производительное и современное;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выполнить мероприятия по энергосбережению;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улучшить качество и обеспечить надежность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предоставляемых услуг;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сократить аварийность при предоставлении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коммунальных услуг и тем самым сократить потери коммунальных ресурсов </w:t>
            </w:r>
            <w:proofErr w:type="gramEnd"/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уровень инвестиционной привлекательности  сельского поселения Новопетровский сельсовет</w:t>
            </w:r>
          </w:p>
        </w:tc>
      </w:tr>
      <w:tr w:rsidR="00C05BC7" w:rsidRPr="00C05BC7" w:rsidTr="00137592">
        <w:trPr>
          <w:trHeight w:val="915"/>
          <w:tblCellSpacing w:w="0" w:type="dxa"/>
        </w:trPr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исполнением Программы </w:t>
            </w:r>
          </w:p>
        </w:tc>
        <w:tc>
          <w:tcPr>
            <w:tcW w:w="6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Администрация сельского поселения Новопетровский сельсовет.</w:t>
            </w:r>
          </w:p>
          <w:p w:rsidR="00C05BC7" w:rsidRPr="00C05BC7" w:rsidRDefault="00C05BC7" w:rsidP="00C05BC7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эффективности реализации Программы Администрацией сельского поселения Новопетровский сельсовет будет проводиться постоянный мониторинг выполнения мероприятий Программы </w:t>
            </w:r>
          </w:p>
        </w:tc>
      </w:tr>
    </w:tbl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BC7" w:rsidRPr="00C05BC7" w:rsidRDefault="00C05BC7" w:rsidP="00C05BC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формирования Программы комплексного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систем коммунальной инфраструктуры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Новопетровского</w:t>
      </w: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реализация </w:t>
      </w:r>
      <w:proofErr w:type="gramStart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комплексного развития систем коммунальной инфраструктуры Новопетровского сельского поселения</w:t>
      </w:r>
      <w:proofErr w:type="gramEnd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следующих принципах: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и решения Программы комплексного развития должны обеспечивать достижение поставленных целей;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обязательность включения мероприятий по энергосбережению при производстве, транспортировке и потреблении энергоресурсов;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Программы комплексного развития является обеспечение устойчивого качественного функционирования и развития систем коммунального комплекса Новопетровского сельского поселения с внедрением механизмов, обеспечивающих осуществление планируемого строительства новых, реконструкции и комплексного обновления (модернизации) существующих систем коммунальной инфраструктуры, улучшение экологической ситуации в муниципальном районе.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 Новопетровского сельского поселения.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комплексного развития систем коммунальной инфраструктуры Новопетровского  сельского поселения представляет собой развернутый план действий, направленный на освоение новых территорий для комплексного жилищного строительства, обеспечения ресурсосбережения, формирования рыночных механизмов функционирования жилищно-коммунального хозяйства и условий для привлечения инвестиций, современной системы ценообразования, повышения эффективности градостроительных решений.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proofErr w:type="gramStart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комплексного развития систем коммунальной инфраструктуры Новопетровского сельского поселения</w:t>
      </w:r>
      <w:proofErr w:type="gramEnd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жилищных условий и качества жизни населения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 сельского поселения;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отрасли жилищно-коммунального хозяйства;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модернизация жилищного фонда;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эффективное использование системы </w:t>
      </w:r>
      <w:proofErr w:type="spellStart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</w:t>
      </w:r>
      <w:proofErr w:type="spellEnd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энергосбережения;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благоприятного инвестиционного климата;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модернизация жилищного фонда;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модернизация и обновление коммунальной инфраструктуры при обеспечении доступности коммунальных ресурсов для потребителей;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системы частного государственного партнерства, путем заключения концессионных соглашений или </w:t>
      </w:r>
      <w:proofErr w:type="spellStart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 за счет средств бюджетов разных уровней.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Характеристика </w:t>
      </w:r>
      <w:proofErr w:type="gramStart"/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</w:t>
      </w:r>
      <w:proofErr w:type="gramEnd"/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демографического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Новопетровского сельского поселения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 Территория  Новопетровского сельского поселения.</w:t>
      </w:r>
    </w:p>
    <w:p w:rsidR="00C05BC7" w:rsidRPr="00C05BC7" w:rsidRDefault="00C05BC7" w:rsidP="00C05BC7">
      <w:pPr>
        <w:suppressAutoHyphens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B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поселение Новопетровский сельсовет входит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Кугарчинский</w:t>
      </w:r>
      <w:r w:rsidRPr="00C05B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и граничит: 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Территория сельского поселения составляет 160000 кв. км (16000 га).  Расстояние до районного центра - 18 км,  до ближайшей железнодорожной станции (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елеуз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– 60 км.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сельского  поселения входит 5 населенных пункта – село Новопетровское , хутор 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Старохвалынский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усино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с.Саиткулово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с.Бекешево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Саиткулово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расположено на расстоянии 11 км от районного центра 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раково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0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С.Бекешево</w:t>
      </w:r>
      <w:proofErr w:type="spellEnd"/>
      <w:r w:rsidRPr="00C0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в 3 км к западу  от административного центра село 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Саиткулово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Д.Мусино</w:t>
      </w:r>
      <w:proofErr w:type="spellEnd"/>
      <w:r w:rsidRPr="00C0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в 8 км от административного центра село 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Саиткулово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Х.Старохвалынский</w:t>
      </w:r>
      <w:proofErr w:type="spellEnd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в 7 км от административного центра село </w:t>
      </w:r>
      <w:proofErr w:type="spellStart"/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Саиткулово</w:t>
      </w:r>
      <w:proofErr w:type="spellEnd"/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BC7" w:rsidRPr="00C05BC7" w:rsidRDefault="00137592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spellStart"/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ельское</w:t>
      </w:r>
      <w:proofErr w:type="spellEnd"/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поселение</w:t>
      </w:r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Новопетровский сельсовет</w:t>
      </w:r>
      <w:proofErr w:type="gramStart"/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,</w:t>
      </w:r>
      <w:proofErr w:type="gramEnd"/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 населением </w:t>
      </w:r>
      <w:r w:rsid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670 </w:t>
      </w:r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жителей, площадью</w:t>
      </w:r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16000</w:t>
      </w:r>
      <w:r w:rsidR="00C05BC7"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га.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поселении  одноэтажные деревянные </w:t>
      </w:r>
      <w:r w:rsid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блочные </w:t>
      </w:r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строения. </w:t>
      </w:r>
    </w:p>
    <w:p w:rsidR="00137592" w:rsidRPr="00137592" w:rsidRDefault="00C05BC7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 сельского поселения  Новопетровский сельсовет характеризуется следующими показателями.</w:t>
      </w:r>
      <w:r w:rsidR="00137592" w:rsidRPr="00137592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Динамика демографического развития  сельского поселения</w:t>
      </w: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Новопетровский сельсовет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18"/>
        <w:gridCol w:w="1417"/>
        <w:gridCol w:w="1278"/>
        <w:gridCol w:w="1487"/>
      </w:tblGrid>
      <w:tr w:rsidR="00137592" w:rsidRPr="00137592" w:rsidTr="00137592">
        <w:trPr>
          <w:trHeight w:val="23"/>
        </w:trPr>
        <w:tc>
          <w:tcPr>
            <w:tcW w:w="50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137592" w:rsidRPr="00137592" w:rsidTr="00137592">
        <w:trPr>
          <w:trHeight w:val="23"/>
        </w:trPr>
        <w:tc>
          <w:tcPr>
            <w:tcW w:w="5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37592" w:rsidRPr="00137592" w:rsidTr="00137592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 поселения,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</w:tr>
      <w:tr w:rsidR="00137592" w:rsidRPr="00137592" w:rsidTr="00137592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родившихся,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7592" w:rsidRPr="00137592" w:rsidTr="00137592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умерших,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37592" w:rsidRPr="00137592" w:rsidTr="00137592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</w:t>
            </w:r>
            <w:proofErr w:type="gramStart"/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 / </w:t>
            </w:r>
            <w:proofErr w:type="gramEnd"/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убыль (-),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- 6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возрастная структура населения  сельского поселения Новопетровский сельсовет имеет определенный демографический потенциал на перспективу в лице относительного большого удельного веса лиц трудоспособного возраста. Однако, ситуация с возрастной структурой населения поселения остается неблагоприятной.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Демографический прогноз является   неотъемлемой частью комплексных </w:t>
      </w: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экономических и социальных прогнозов развития территории и имеет чрезвычайно </w:t>
      </w:r>
      <w:proofErr w:type="gram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целей краткосрочного, среднесрочного и долгосрочного планирования развития территории. Демографический прогноз позволяет дать оценку основных параметров развития населения (обеспеченность трудовыми ресурсами, дальнейшие перспективы воспроизводства и т.д.) на основе выбранных гипотез изменения уровней рождаемости, смертности и миграционных потоков.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Гидрографические данные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гидрологическом отношении территория поселения представлена в основном балками не имеющими, в основном, постоянных водостоков.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имеется река Большой ИК: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13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1.3. Климатические условия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Преобладающими ветрами являются ветры восточного направления. Зимой они приносят морозы и метели, лето</w:t>
      </w:r>
      <w:proofErr w:type="gram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зной и большое количество пыли.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Показатели сферы жилищно-коммунального хозяйства муниципального образования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 Новопетровский сельсовет предоставлением услуг в сфере жилищно-коммунального хозяйства занимается организация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Кугарчинские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РЭС ф-л «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БашРЭС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-Стерлитамак»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 ЛЭП-10кВ – 10,6 км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Всего:                   10,6 км 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Специализированной организации, занимающейся сбором и вывозом мусора на территории сельского поселения нет. Сбор и вывоз мусора осуществляется своими силами населения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возникновения проблем является: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высокий процент изношенности коммунальной инфраструктуры,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неудовлетворительное техническое состояние жилищного фонда.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1375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наличием  потерь в системах водоснабжения, что в целом негативно сказывается на финансовых результатах их хозяйственной деятельности.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0"/>
        <w:gridCol w:w="1559"/>
        <w:gridCol w:w="2006"/>
      </w:tblGrid>
      <w:tr w:rsidR="00137592" w:rsidRPr="00137592" w:rsidTr="00137592">
        <w:trPr>
          <w:trHeight w:val="555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Ед. </w:t>
            </w:r>
          </w:p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том числе</w:t>
            </w: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7592" w:rsidRPr="00137592" w:rsidTr="00137592">
        <w:trPr>
          <w:trHeight w:val="34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</w:t>
            </w:r>
          </w:p>
        </w:tc>
      </w:tr>
      <w:tr w:rsidR="00137592" w:rsidRPr="00137592" w:rsidTr="00137592">
        <w:trPr>
          <w:trHeight w:val="348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592" w:rsidRPr="00137592" w:rsidTr="00137592">
        <w:trPr>
          <w:trHeight w:val="30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137592" w:rsidRPr="00137592" w:rsidTr="00137592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592" w:rsidRPr="00137592" w:rsidTr="00137592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7592" w:rsidRPr="00137592" w:rsidTr="00137592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592" w:rsidRPr="00137592" w:rsidTr="00137592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Газификация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Общая площадь жилого фонда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96%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населенных пунктов обеспеченных </w:t>
            </w: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7592" w:rsidRPr="00137592" w:rsidTr="00137592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сбора и вывоза  ТБО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592" w:rsidRPr="00137592" w:rsidTr="00137592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</w:tr>
      <w:tr w:rsidR="00137592" w:rsidRPr="00137592" w:rsidTr="0013759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населенных пунктов обеспеченных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592" w:rsidRPr="00137592" w:rsidRDefault="00137592" w:rsidP="001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 Анализ текущего состояния систем теплоснабжения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с.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Саиткулово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с,Новопетровское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екешево,д.Мусино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х.Старохвалынский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централизованное теплоснабжение отсутствует. Частный сектор имеет газовое  печное отопление. Вид топлива  газ. В с.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Саиткулово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С.Новопетровское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школа  имеет собственную  котельную. Новопетровский ФАП и 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Саиткуловский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ФАП, детский сад «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Акбузат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Бекешевский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СК,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САиткуловская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</w:t>
      </w:r>
      <w:proofErr w:type="gram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Новопетровская</w:t>
      </w:r>
      <w:proofErr w:type="spell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 отапливаются от  котельных школ.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1.6. Анализ текущего состояния  систем  водоснабжения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Новопетровский сельсовет  водоснабжением  обеспечивают жители себя с личных </w:t>
      </w:r>
      <w:proofErr w:type="spell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скважен</w:t>
      </w:r>
      <w:proofErr w:type="spellEnd"/>
      <w:proofErr w:type="gramStart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централизованное водоснабжение отсутствует.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1.7. Анализ текущего состояния  систем газоснабжения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Газоснабжение населения сельского поселения бытовым газом осуществляется следующим образом:</w:t>
      </w:r>
    </w:p>
    <w:p w:rsidR="00137592" w:rsidRPr="00137592" w:rsidRDefault="00137592" w:rsidP="0013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Населенные пункты сельского поселения Новопетровский сельсовет газифицированы. Население пользуется сетевым  газом.</w:t>
      </w:r>
    </w:p>
    <w:p w:rsidR="00C05BC7" w:rsidRPr="00C05BC7" w:rsidRDefault="00C05BC7" w:rsidP="00C0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32" w:rsidRPr="00690A32" w:rsidRDefault="00690A32" w:rsidP="00690A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Анализ текущего состояния сферы сбора твердых бытовых отходов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и проблематичным вопросом на протяжении целого ряда лет являлась уборка и вывоз хозяйственного мусора и твердых бытовых отходов. 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поселения за отчетный период  организована система сбора и вывоза твердых бытовых отходов.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сбора и вывоза ТБО осуществляет самовывозом. Собранные отходы вывозятся  на полигон временного хранения отходов.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территории  поселения дополнительные мусорные контейнеры  вместимостью 0,75 </w:t>
      </w:r>
      <w:proofErr w:type="spell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сбора мусора на улицах поселения, а также обязать каждое предприятие и учреждения и организации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урну для сбора мусора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1.9.  Анализ текущего состояния системы электроснабжения.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 жилищно-коммунального сектора  сельского поселения Новопетровский сельсовет осуществляется от существующих потребительских трансформаторных подстанций 10/04, </w:t>
      </w:r>
      <w:proofErr w:type="spell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ТП выполнено по фидерным воздушным линиям 10кВ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 по развитию системы электроснабжения сельского поселения Новопетровский сельсовет станут: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существующего наружного освещения</w:t>
      </w: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90A32" w:rsidRPr="00690A32" w:rsidRDefault="00690A32" w:rsidP="00690A32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современного электроосветительного оборудования, обеспечивающего эко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номию электрической энергии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Основные цели и задачи, сроки и этапы реализации  Программы.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Основные цели Программы.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690A3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</w:t>
      </w:r>
      <w:r w:rsidRPr="00690A3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поселени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0A3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Новопетровский сельсовет.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Программа направлена на снижение уровня износа, повышение качества предоставляемых коммунальных услуг, улучшение экологической ситуации.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A3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90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Pr="00690A3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Основные задачи Программы</w:t>
      </w:r>
      <w:r w:rsidRPr="00690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90A3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Инженерно-техническая оптимизация систем коммунальной инфраструктуры.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Повышение надежности систем коммунальной инфраструктуры.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более комфортных условий проживания населения сельского поселения.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Повышение качества </w:t>
      </w: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ЖКУ.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Снижение потребление энергетических ресурсов.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Снижение потерь при поставке ресурсов потребителям.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Улучшение экологической обстановки в сельском поселении.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Повышение уровня газификации населённых пунктов   сельского поселения.</w:t>
      </w: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0A32" w:rsidRPr="00690A32" w:rsidRDefault="00690A32" w:rsidP="00690A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Сроки и этапы реализации Программы.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действует с 1 января 2016 года по 31 декабря 2030 года. Реализация программы будет осуществляться весь период.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Мероприятия по развитию системы коммунальной инфраструктуры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3.1. Общие положения</w:t>
      </w:r>
    </w:p>
    <w:p w:rsidR="00690A32" w:rsidRPr="00690A32" w:rsidRDefault="00690A32" w:rsidP="00690A3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факторами, определяющими направления разработки Программы, являются:</w:t>
      </w:r>
    </w:p>
    <w:p w:rsidR="00690A32" w:rsidRPr="00690A32" w:rsidRDefault="00690A32" w:rsidP="00690A3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социально-экономического развития поселения, характеризующиеся незначительным снижением численности населения; </w:t>
      </w:r>
    </w:p>
    <w:p w:rsidR="00690A32" w:rsidRPr="00690A32" w:rsidRDefault="00690A32" w:rsidP="00690A3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существующей системы коммунальной инфраструктуры;</w:t>
      </w:r>
    </w:p>
    <w:p w:rsidR="00690A32" w:rsidRPr="00690A32" w:rsidRDefault="00690A32" w:rsidP="00690A3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строительство малоэтажных домов, направленное на улучшение жилищных условий граждан;</w:t>
      </w:r>
    </w:p>
    <w:p w:rsidR="00690A32" w:rsidRPr="00690A32" w:rsidRDefault="00690A32" w:rsidP="00690A3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оценочных показателей потребления коммунальных услуг;</w:t>
      </w:r>
    </w:p>
    <w:p w:rsidR="00690A32" w:rsidRPr="00690A32" w:rsidRDefault="00690A32" w:rsidP="00690A3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характеризует будущую модель коммунального комплекса поселения. </w:t>
      </w:r>
    </w:p>
    <w:p w:rsidR="00690A32" w:rsidRPr="00690A32" w:rsidRDefault="00690A32" w:rsidP="00690A3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690A32" w:rsidRPr="00690A32" w:rsidRDefault="00690A32" w:rsidP="00690A3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 и модернизация оборудования, сетей организаций коммунального комплекса  в целях повышения качества товаров (услуг), улучшения экологической ситуации;</w:t>
      </w:r>
    </w:p>
    <w:p w:rsidR="00690A32" w:rsidRPr="00690A32" w:rsidRDefault="00690A32" w:rsidP="00690A3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690A32" w:rsidRPr="00690A32" w:rsidRDefault="00690A32" w:rsidP="00690A3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сельском поселении и срокам реализации.</w:t>
      </w:r>
    </w:p>
    <w:p w:rsidR="00690A32" w:rsidRPr="00690A32" w:rsidRDefault="00690A32" w:rsidP="00690A32">
      <w:pPr>
        <w:numPr>
          <w:ilvl w:val="0"/>
          <w:numId w:val="6"/>
        </w:numPr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мероприятий Программы  определены исходя из актуальности и эффективности мероприятий (в целях повышения качества товаров (услуг), улучшения экологической ситуации). </w:t>
      </w:r>
    </w:p>
    <w:p w:rsidR="00690A32" w:rsidRPr="00690A32" w:rsidRDefault="00690A32" w:rsidP="00690A32">
      <w:pPr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Источниками финансирования мероприятий Программы являются средства областного бюджета, местного бюджета. Объемы финансирования мероприятий из областного 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основные средства, существующие и построенные (модернизированные) в рамках соответствующих мероприятий. </w:t>
      </w:r>
    </w:p>
    <w:p w:rsidR="00690A32" w:rsidRPr="00690A32" w:rsidRDefault="00690A32" w:rsidP="00690A32">
      <w:pPr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Система водоснабжения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целевыми индикаторами </w:t>
      </w: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-устройство подключения с водомерным узлом водонапорных башен с. Новопетровское к </w:t>
      </w: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ограждения санитарной зоны вокруг резервуаров и башен;</w:t>
      </w:r>
    </w:p>
    <w:p w:rsidR="00690A32" w:rsidRPr="00690A32" w:rsidRDefault="00690A32" w:rsidP="00690A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Система газоснабжения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реализации мероприятий Программы комплексного развития системы</w:t>
      </w: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 потребителей поселения</w:t>
      </w: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газифицировать дома</w:t>
      </w: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90A32" w:rsidRPr="00690A32" w:rsidRDefault="00690A32" w:rsidP="00690A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Система сбора и вывоза твердых бытовых отходов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целевыми индикаторами </w:t>
      </w: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Программы комплексного развития  системы сбора</w:t>
      </w:r>
      <w:proofErr w:type="gram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вывоза твердых бытовых отходов потребителей поселения, являются: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мусорных контейнеров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 поселении раздельного сбора мусора (перспектива).</w:t>
      </w:r>
    </w:p>
    <w:p w:rsidR="00690A32" w:rsidRPr="00690A32" w:rsidRDefault="00690A32" w:rsidP="00690A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Система электроснабжения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целевыми индикаторами </w:t>
      </w: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Программы комплексного развития системы электроснабжения  потребителей поселения</w:t>
      </w:r>
      <w:proofErr w:type="gram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существующего уличного освещения;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A32" w:rsidRPr="00690A32" w:rsidRDefault="00690A32" w:rsidP="00690A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Механизм реализации  Программы и </w:t>
      </w:r>
      <w:proofErr w:type="gramStart"/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выполнения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Администрацией сельского поселения Новопетровский сельсовет. Для решения задач Программы предполагается использовать средства местного бюджета.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реализации данной Программы в соответствии со стратегическими приоритетами развития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 Программы являются администрация  сельского поселения</w:t>
      </w: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Новопетровский сельсовет и организации коммунального комплекса.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 по итогам каждого года Администрация  сельского поселения Новопетровский сельсовет и Советом сельского поселения Новопетровский сельсовет.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690A32" w:rsidRPr="00690A32" w:rsidRDefault="00690A32" w:rsidP="00690A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Оценка эффективности реализации Программы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результатами реализации мероприятий в сфере ЖКХ  являются: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модернизация и обновление коммунальной инфраструктуры поселения;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 эксплуатационных затрат предприятий ЖКХ; 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качественных показателей  воды;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причин возникновения аварийных ситуаций, угрожающих жизнедеятельности человека.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важными конечными результатами реализации программы являются: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количества потерь воды;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предоставляемых услуг жилищно-коммунального комплекса;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надлежащего сбора и утилизации твердых и жидких бытовых отходов;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экологического состояния  окружающей среды.</w:t>
      </w: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A32" w:rsidRPr="00690A32" w:rsidRDefault="00690A32" w:rsidP="00690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0A32" w:rsidRPr="00690A32" w:rsidSect="00690A32">
          <w:pgSz w:w="11906" w:h="16838"/>
          <w:pgMar w:top="709" w:right="851" w:bottom="568" w:left="1701" w:header="720" w:footer="720" w:gutter="0"/>
          <w:cols w:space="720"/>
          <w:docGrid w:linePitch="360"/>
        </w:sectPr>
      </w:pPr>
    </w:p>
    <w:p w:rsidR="007E0F47" w:rsidRDefault="00C05BC7" w:rsidP="00C05BC7">
      <w:r w:rsidRPr="00C05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</w:p>
    <w:sectPr w:rsidR="007E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2">
    <w:nsid w:val="1BDB45C2"/>
    <w:multiLevelType w:val="hybridMultilevel"/>
    <w:tmpl w:val="C81EBFD6"/>
    <w:lvl w:ilvl="0" w:tplc="0419000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DA84C6F"/>
    <w:multiLevelType w:val="hybridMultilevel"/>
    <w:tmpl w:val="E71CB9F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F0A44C7"/>
    <w:multiLevelType w:val="hybridMultilevel"/>
    <w:tmpl w:val="6C22CDA8"/>
    <w:lvl w:ilvl="0" w:tplc="4622EFE2">
      <w:start w:val="1"/>
      <w:numFmt w:val="decimal"/>
      <w:lvlText w:val="%1."/>
      <w:lvlJc w:val="left"/>
      <w:pPr>
        <w:ind w:left="720" w:hanging="360"/>
      </w:pPr>
    </w:lvl>
    <w:lvl w:ilvl="1" w:tplc="486EF2E0">
      <w:start w:val="1"/>
      <w:numFmt w:val="lowerLetter"/>
      <w:lvlText w:val="%2."/>
      <w:lvlJc w:val="left"/>
      <w:pPr>
        <w:ind w:left="1440" w:hanging="360"/>
      </w:pPr>
    </w:lvl>
    <w:lvl w:ilvl="2" w:tplc="14B0F668">
      <w:start w:val="1"/>
      <w:numFmt w:val="lowerRoman"/>
      <w:lvlText w:val="%3."/>
      <w:lvlJc w:val="right"/>
      <w:pPr>
        <w:ind w:left="2160" w:hanging="180"/>
      </w:pPr>
    </w:lvl>
    <w:lvl w:ilvl="3" w:tplc="BE5453D6">
      <w:start w:val="1"/>
      <w:numFmt w:val="decimal"/>
      <w:lvlText w:val="%4."/>
      <w:lvlJc w:val="left"/>
      <w:pPr>
        <w:ind w:left="2880" w:hanging="360"/>
      </w:pPr>
    </w:lvl>
    <w:lvl w:ilvl="4" w:tplc="CA7A5A50">
      <w:start w:val="1"/>
      <w:numFmt w:val="lowerLetter"/>
      <w:lvlText w:val="%5."/>
      <w:lvlJc w:val="left"/>
      <w:pPr>
        <w:ind w:left="3600" w:hanging="360"/>
      </w:pPr>
    </w:lvl>
    <w:lvl w:ilvl="5" w:tplc="48A4499A">
      <w:start w:val="1"/>
      <w:numFmt w:val="lowerRoman"/>
      <w:lvlText w:val="%6."/>
      <w:lvlJc w:val="right"/>
      <w:pPr>
        <w:ind w:left="4320" w:hanging="180"/>
      </w:pPr>
    </w:lvl>
    <w:lvl w:ilvl="6" w:tplc="14FC4C18">
      <w:start w:val="1"/>
      <w:numFmt w:val="decimal"/>
      <w:lvlText w:val="%7."/>
      <w:lvlJc w:val="left"/>
      <w:pPr>
        <w:ind w:left="5040" w:hanging="360"/>
      </w:pPr>
    </w:lvl>
    <w:lvl w:ilvl="7" w:tplc="820C8740">
      <w:start w:val="1"/>
      <w:numFmt w:val="lowerLetter"/>
      <w:lvlText w:val="%8."/>
      <w:lvlJc w:val="left"/>
      <w:pPr>
        <w:ind w:left="5760" w:hanging="360"/>
      </w:pPr>
    </w:lvl>
    <w:lvl w:ilvl="8" w:tplc="456253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A295D"/>
    <w:multiLevelType w:val="hybridMultilevel"/>
    <w:tmpl w:val="2940D2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A867E21"/>
    <w:multiLevelType w:val="hybridMultilevel"/>
    <w:tmpl w:val="18E0BC6C"/>
    <w:lvl w:ilvl="0" w:tplc="6962552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B2"/>
    <w:rsid w:val="00137592"/>
    <w:rsid w:val="00690A32"/>
    <w:rsid w:val="007E0F47"/>
    <w:rsid w:val="007F2C35"/>
    <w:rsid w:val="00C05BC7"/>
    <w:rsid w:val="00C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2023-12-20T10:23:00Z</cp:lastPrinted>
  <dcterms:created xsi:type="dcterms:W3CDTF">2023-11-22T09:13:00Z</dcterms:created>
  <dcterms:modified xsi:type="dcterms:W3CDTF">2023-12-20T10:23:00Z</dcterms:modified>
</cp:coreProperties>
</file>